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E35F20" w:rsidRPr="00E35F20" w:rsidTr="002C2E0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F20" w:rsidRPr="00E35F20" w:rsidRDefault="00E35F20" w:rsidP="00E35F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5F20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E35F20" w:rsidRPr="00E35F20" w:rsidRDefault="00E35F20" w:rsidP="00E35F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5F20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E35F20" w:rsidRPr="00E35F20" w:rsidRDefault="00E35F20" w:rsidP="00E35F20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E35F20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E35F20" w:rsidRPr="00E35F20" w:rsidRDefault="00E35F20" w:rsidP="00E35F20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E35F20">
              <w:rPr>
                <w:sz w:val="28"/>
                <w:szCs w:val="28"/>
              </w:rPr>
              <w:t>Р</w:t>
            </w:r>
            <w:r w:rsidRPr="00E35F20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F20" w:rsidRPr="00E35F20" w:rsidRDefault="00E35F20" w:rsidP="00E35F20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F20" w:rsidRPr="00E35F20" w:rsidRDefault="00E35F20" w:rsidP="00E35F20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E35F20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35F20" w:rsidRPr="00E35F20" w:rsidRDefault="00E35F20" w:rsidP="00E35F20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E35F20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E35F20" w:rsidRPr="00E35F20" w:rsidRDefault="00E35F20" w:rsidP="00E35F20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E35F20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E35F20" w:rsidRPr="00E35F20" w:rsidRDefault="00E35F20" w:rsidP="00E35F20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E35F20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E35F20" w:rsidRPr="00E35F20" w:rsidTr="002C2E05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E35F20" w:rsidRPr="00E35F20" w:rsidRDefault="00E35F20" w:rsidP="00E35F2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E35F20" w:rsidRPr="00E35F20" w:rsidRDefault="00E35F20" w:rsidP="00E35F20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E35F20" w:rsidRPr="00E35F20" w:rsidRDefault="00E35F20" w:rsidP="00E35F20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E35F20" w:rsidRPr="00E35F20" w:rsidTr="002C2E05">
        <w:trPr>
          <w:trHeight w:val="65"/>
        </w:trPr>
        <w:tc>
          <w:tcPr>
            <w:tcW w:w="5315" w:type="dxa"/>
            <w:hideMark/>
          </w:tcPr>
          <w:p w:rsidR="00E35F20" w:rsidRPr="00E35F20" w:rsidRDefault="00E35F20" w:rsidP="00E35F20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E35F20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E35F20" w:rsidRPr="00E35F20" w:rsidRDefault="00E35F20" w:rsidP="00E35F20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E35F20">
              <w:rPr>
                <w:lang w:val="tt-RU"/>
              </w:rPr>
              <w:t xml:space="preserve">                     </w:t>
            </w:r>
            <w:r w:rsidRPr="00E35F20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E35F20" w:rsidRPr="00E35F20" w:rsidRDefault="00E35F20" w:rsidP="00E35F20">
      <w:pPr>
        <w:rPr>
          <w:rFonts w:ascii="Calibri" w:hAnsi="Calibri"/>
          <w:sz w:val="22"/>
          <w:szCs w:val="22"/>
        </w:rPr>
      </w:pPr>
      <w:r w:rsidRPr="00E35F20">
        <w:rPr>
          <w:sz w:val="28"/>
          <w:szCs w:val="28"/>
          <w:lang w:val="tt-RU"/>
        </w:rPr>
        <w:t xml:space="preserve">         </w:t>
      </w:r>
      <w:r w:rsidRPr="00E35F20">
        <w:rPr>
          <w:sz w:val="28"/>
          <w:szCs w:val="28"/>
        </w:rPr>
        <w:t>28</w:t>
      </w:r>
      <w:r w:rsidRPr="00E35F20">
        <w:rPr>
          <w:sz w:val="28"/>
          <w:szCs w:val="28"/>
          <w:lang w:val="tt-RU"/>
        </w:rPr>
        <w:t>.</w:t>
      </w:r>
      <w:r w:rsidRPr="00E35F20">
        <w:rPr>
          <w:sz w:val="28"/>
          <w:szCs w:val="28"/>
        </w:rPr>
        <w:t>09</w:t>
      </w:r>
      <w:r w:rsidRPr="00E35F20">
        <w:rPr>
          <w:sz w:val="28"/>
          <w:szCs w:val="28"/>
          <w:lang w:val="tt-RU"/>
        </w:rPr>
        <w:t>.201</w:t>
      </w:r>
      <w:r w:rsidRPr="00E35F20">
        <w:rPr>
          <w:sz w:val="28"/>
          <w:szCs w:val="28"/>
        </w:rPr>
        <w:t>8</w:t>
      </w:r>
      <w:r w:rsidRPr="00E35F20">
        <w:rPr>
          <w:sz w:val="28"/>
          <w:szCs w:val="28"/>
          <w:lang w:val="tt-RU"/>
        </w:rPr>
        <w:t xml:space="preserve"> </w:t>
      </w:r>
      <w:r w:rsidRPr="00E35F20">
        <w:rPr>
          <w:lang w:val="tt-RU"/>
        </w:rPr>
        <w:t xml:space="preserve">                                       </w:t>
      </w:r>
      <w:r w:rsidRPr="00E35F20">
        <w:rPr>
          <w:sz w:val="28"/>
          <w:szCs w:val="28"/>
          <w:lang w:val="tt-RU"/>
        </w:rPr>
        <w:t>г.</w:t>
      </w:r>
      <w:r w:rsidRPr="00E35F20">
        <w:rPr>
          <w:sz w:val="28"/>
          <w:szCs w:val="28"/>
        </w:rPr>
        <w:t xml:space="preserve"> </w:t>
      </w:r>
      <w:r w:rsidRPr="00E35F20">
        <w:rPr>
          <w:sz w:val="28"/>
          <w:szCs w:val="28"/>
          <w:lang w:val="tt-RU"/>
        </w:rPr>
        <w:t xml:space="preserve">Елабуга                     </w:t>
      </w:r>
      <w:r w:rsidRPr="00E35F20">
        <w:rPr>
          <w:sz w:val="28"/>
          <w:szCs w:val="28"/>
        </w:rPr>
        <w:t xml:space="preserve">     </w:t>
      </w:r>
      <w:r w:rsidRPr="00E35F20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160</w:t>
      </w:r>
    </w:p>
    <w:p w:rsidR="00E35F20" w:rsidRPr="00E35F20" w:rsidRDefault="00E35F20" w:rsidP="00E35F20">
      <w:pPr>
        <w:jc w:val="center"/>
        <w:rPr>
          <w:sz w:val="28"/>
          <w:szCs w:val="28"/>
        </w:rPr>
      </w:pPr>
    </w:p>
    <w:p w:rsidR="00CC6569" w:rsidRDefault="00CC6569" w:rsidP="00CC6569">
      <w:pPr>
        <w:jc w:val="center"/>
        <w:rPr>
          <w:b/>
          <w:sz w:val="28"/>
        </w:rPr>
      </w:pPr>
    </w:p>
    <w:p w:rsidR="001607CE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D11BCE">
        <w:rPr>
          <w:sz w:val="28"/>
          <w:szCs w:val="28"/>
        </w:rPr>
        <w:t>11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proofErr w:type="spellStart"/>
      <w:r w:rsidR="00CC6569" w:rsidRPr="00337020">
        <w:rPr>
          <w:rFonts w:eastAsiaTheme="minorHAnsi"/>
          <w:szCs w:val="28"/>
          <w:lang w:eastAsia="en-US"/>
        </w:rPr>
        <w:t>Елабужский</w:t>
      </w:r>
      <w:proofErr w:type="spellEnd"/>
      <w:r w:rsidR="00CC6569" w:rsidRPr="00337020">
        <w:rPr>
          <w:rFonts w:eastAsiaTheme="minorHAnsi"/>
          <w:szCs w:val="28"/>
          <w:lang w:eastAsia="en-US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E35F20" w:rsidRDefault="00E35F20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D11BCE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>1.</w:t>
      </w:r>
      <w:r w:rsidR="00D11BCE">
        <w:rPr>
          <w:sz w:val="28"/>
          <w:szCs w:val="28"/>
        </w:rPr>
        <w:t xml:space="preserve"> Установить границы Территориального общественного самоуправления №11 в пределах следующих территорий проживания граждан:</w:t>
      </w:r>
    </w:p>
    <w:p w:rsidR="006F02B0" w:rsidRDefault="00D11BCE" w:rsidP="0043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Жилые дома</w:t>
      </w:r>
      <w:r w:rsidR="00044738">
        <w:rPr>
          <w:sz w:val="28"/>
          <w:szCs w:val="28"/>
        </w:rPr>
        <w:t xml:space="preserve"> города Елабуга</w:t>
      </w:r>
      <w:r>
        <w:rPr>
          <w:sz w:val="28"/>
          <w:szCs w:val="28"/>
        </w:rPr>
        <w:t>, расположенные по адресам:</w:t>
      </w:r>
    </w:p>
    <w:p w:rsidR="00044738" w:rsidRDefault="00D11BCE" w:rsidP="0043697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ул</w:t>
      </w:r>
      <w:r w:rsidR="003E1003">
        <w:rPr>
          <w:sz w:val="28"/>
          <w:szCs w:val="28"/>
        </w:rPr>
        <w:t>.</w:t>
      </w:r>
      <w:r w:rsidR="001D7E92">
        <w:rPr>
          <w:sz w:val="28"/>
          <w:szCs w:val="28"/>
        </w:rPr>
        <w:t xml:space="preserve"> </w:t>
      </w:r>
      <w:r>
        <w:rPr>
          <w:sz w:val="28"/>
          <w:szCs w:val="28"/>
        </w:rPr>
        <w:t>М. Горького от д.111</w:t>
      </w:r>
      <w:r w:rsidR="001D7E92">
        <w:rPr>
          <w:sz w:val="28"/>
          <w:szCs w:val="28"/>
        </w:rPr>
        <w:t xml:space="preserve"> до д.</w:t>
      </w:r>
      <w:r>
        <w:rPr>
          <w:sz w:val="28"/>
          <w:szCs w:val="28"/>
        </w:rPr>
        <w:t xml:space="preserve">175, </w:t>
      </w:r>
      <w:r w:rsidR="001D7E92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 от д.40</w:t>
      </w:r>
      <w:r w:rsidR="001D7E92">
        <w:rPr>
          <w:sz w:val="28"/>
          <w:szCs w:val="28"/>
        </w:rPr>
        <w:t xml:space="preserve"> до д.</w:t>
      </w:r>
      <w:r>
        <w:rPr>
          <w:sz w:val="28"/>
          <w:szCs w:val="28"/>
        </w:rPr>
        <w:t>155</w:t>
      </w:r>
      <w:r w:rsidR="00044738">
        <w:rPr>
          <w:sz w:val="28"/>
          <w:szCs w:val="28"/>
        </w:rPr>
        <w:t xml:space="preserve">, </w:t>
      </w:r>
      <w:r w:rsidR="001D7E92">
        <w:rPr>
          <w:sz w:val="28"/>
          <w:szCs w:val="28"/>
        </w:rPr>
        <w:t xml:space="preserve">ул. </w:t>
      </w:r>
      <w:r w:rsidR="00044738">
        <w:rPr>
          <w:sz w:val="28"/>
          <w:szCs w:val="28"/>
        </w:rPr>
        <w:t>Свердлова от д.52</w:t>
      </w:r>
      <w:r w:rsidR="001D7E92">
        <w:rPr>
          <w:sz w:val="28"/>
          <w:szCs w:val="28"/>
        </w:rPr>
        <w:t xml:space="preserve"> до д.</w:t>
      </w:r>
      <w:r w:rsidR="00044738">
        <w:rPr>
          <w:sz w:val="28"/>
          <w:szCs w:val="28"/>
        </w:rPr>
        <w:t xml:space="preserve">113, </w:t>
      </w:r>
      <w:r w:rsidR="001D7E92">
        <w:rPr>
          <w:sz w:val="28"/>
          <w:szCs w:val="28"/>
        </w:rPr>
        <w:t xml:space="preserve">ул. </w:t>
      </w:r>
      <w:r w:rsidR="00044738">
        <w:rPr>
          <w:sz w:val="28"/>
          <w:szCs w:val="28"/>
        </w:rPr>
        <w:t>Северная от д.30</w:t>
      </w:r>
      <w:r w:rsidR="001D7E92">
        <w:rPr>
          <w:sz w:val="28"/>
          <w:szCs w:val="28"/>
        </w:rPr>
        <w:t xml:space="preserve"> до д.</w:t>
      </w:r>
      <w:r w:rsidR="00044738">
        <w:rPr>
          <w:sz w:val="28"/>
          <w:szCs w:val="28"/>
        </w:rPr>
        <w:t xml:space="preserve">77, </w:t>
      </w:r>
      <w:r w:rsidR="001D7E92">
        <w:rPr>
          <w:sz w:val="28"/>
          <w:szCs w:val="28"/>
        </w:rPr>
        <w:t xml:space="preserve">ул. </w:t>
      </w:r>
      <w:r w:rsidR="00044738">
        <w:rPr>
          <w:sz w:val="28"/>
          <w:szCs w:val="28"/>
        </w:rPr>
        <w:t>Карьерная от д.48</w:t>
      </w:r>
      <w:r w:rsidR="001D7E92">
        <w:rPr>
          <w:sz w:val="28"/>
          <w:szCs w:val="28"/>
        </w:rPr>
        <w:t xml:space="preserve"> до д.</w:t>
      </w:r>
      <w:r w:rsidR="00044738">
        <w:rPr>
          <w:sz w:val="28"/>
          <w:szCs w:val="28"/>
        </w:rPr>
        <w:t xml:space="preserve">66, </w:t>
      </w:r>
      <w:r w:rsidR="001D7E92">
        <w:rPr>
          <w:sz w:val="28"/>
          <w:szCs w:val="28"/>
        </w:rPr>
        <w:t xml:space="preserve">ул. </w:t>
      </w:r>
      <w:r w:rsidR="00044738">
        <w:rPr>
          <w:sz w:val="28"/>
          <w:szCs w:val="28"/>
        </w:rPr>
        <w:t>Маяковского от д.22Б</w:t>
      </w:r>
      <w:r w:rsidR="001D7E92">
        <w:rPr>
          <w:sz w:val="28"/>
          <w:szCs w:val="28"/>
        </w:rPr>
        <w:t xml:space="preserve"> до д.</w:t>
      </w:r>
      <w:r w:rsidR="00044738">
        <w:rPr>
          <w:sz w:val="28"/>
          <w:szCs w:val="28"/>
        </w:rPr>
        <w:t xml:space="preserve">55, </w:t>
      </w:r>
      <w:r w:rsidR="001D7E92">
        <w:rPr>
          <w:sz w:val="28"/>
          <w:szCs w:val="28"/>
        </w:rPr>
        <w:t xml:space="preserve">ул. </w:t>
      </w:r>
      <w:proofErr w:type="spellStart"/>
      <w:r w:rsidR="00044738">
        <w:rPr>
          <w:sz w:val="28"/>
          <w:szCs w:val="28"/>
        </w:rPr>
        <w:t>Морквашенская</w:t>
      </w:r>
      <w:proofErr w:type="spellEnd"/>
      <w:r w:rsidR="00044738">
        <w:rPr>
          <w:sz w:val="28"/>
          <w:szCs w:val="28"/>
        </w:rPr>
        <w:t xml:space="preserve">, </w:t>
      </w:r>
      <w:r w:rsidR="001D7E92">
        <w:rPr>
          <w:sz w:val="28"/>
          <w:szCs w:val="28"/>
        </w:rPr>
        <w:t xml:space="preserve">ул. </w:t>
      </w:r>
      <w:proofErr w:type="spellStart"/>
      <w:r w:rsidR="00044738">
        <w:rPr>
          <w:sz w:val="28"/>
          <w:szCs w:val="28"/>
        </w:rPr>
        <w:t>Саралинская</w:t>
      </w:r>
      <w:proofErr w:type="spellEnd"/>
      <w:r w:rsidR="00044738">
        <w:rPr>
          <w:sz w:val="28"/>
          <w:szCs w:val="28"/>
        </w:rPr>
        <w:t xml:space="preserve">, </w:t>
      </w:r>
      <w:r w:rsidR="001D7E92">
        <w:rPr>
          <w:sz w:val="28"/>
          <w:szCs w:val="28"/>
        </w:rPr>
        <w:t xml:space="preserve">ул. </w:t>
      </w:r>
      <w:proofErr w:type="spellStart"/>
      <w:r w:rsidR="00044738">
        <w:rPr>
          <w:sz w:val="28"/>
          <w:szCs w:val="28"/>
        </w:rPr>
        <w:t>Бондюжская</w:t>
      </w:r>
      <w:proofErr w:type="spellEnd"/>
      <w:r w:rsidR="00044738">
        <w:rPr>
          <w:sz w:val="28"/>
          <w:szCs w:val="28"/>
        </w:rPr>
        <w:t>;</w:t>
      </w:r>
      <w:proofErr w:type="gramEnd"/>
    </w:p>
    <w:p w:rsidR="00044738" w:rsidRDefault="00044738" w:rsidP="0043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переулк</w:t>
      </w:r>
      <w:r w:rsidR="003E1003">
        <w:rPr>
          <w:sz w:val="28"/>
          <w:szCs w:val="28"/>
        </w:rPr>
        <w:t>и</w:t>
      </w:r>
      <w:r>
        <w:rPr>
          <w:sz w:val="28"/>
          <w:szCs w:val="28"/>
        </w:rPr>
        <w:t xml:space="preserve">: Свечной, </w:t>
      </w:r>
      <w:r w:rsidR="001D7E92">
        <w:rPr>
          <w:sz w:val="28"/>
          <w:szCs w:val="28"/>
        </w:rPr>
        <w:t xml:space="preserve">З. </w:t>
      </w:r>
      <w:r>
        <w:rPr>
          <w:sz w:val="28"/>
          <w:szCs w:val="28"/>
        </w:rPr>
        <w:t xml:space="preserve">Космодемьянской, </w:t>
      </w:r>
      <w:proofErr w:type="gramStart"/>
      <w:r>
        <w:rPr>
          <w:sz w:val="28"/>
          <w:szCs w:val="28"/>
        </w:rPr>
        <w:t>Совхозный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Аббасова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Свечникова</w:t>
      </w:r>
      <w:proofErr w:type="spellEnd"/>
      <w:r>
        <w:rPr>
          <w:sz w:val="28"/>
          <w:szCs w:val="28"/>
        </w:rPr>
        <w:t>, Романовского, Первомайский, Кленовый, Дорожников;</w:t>
      </w:r>
    </w:p>
    <w:p w:rsidR="00D11BCE" w:rsidRDefault="00044738" w:rsidP="0043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Набережночелнинско</w:t>
      </w:r>
      <w:r w:rsidR="001D7E92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шоссе</w:t>
      </w:r>
      <w:r w:rsidR="001D7E92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  <w:r w:rsidR="00D11BCE">
        <w:rPr>
          <w:sz w:val="28"/>
          <w:szCs w:val="28"/>
        </w:rPr>
        <w:t xml:space="preserve"> 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</w:t>
      </w:r>
      <w:proofErr w:type="gramStart"/>
      <w:r w:rsidRPr="003E3E0E">
        <w:rPr>
          <w:szCs w:val="28"/>
        </w:rPr>
        <w:t>Контроль за</w:t>
      </w:r>
      <w:proofErr w:type="gramEnd"/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044738" w:rsidRDefault="00044738" w:rsidP="008919C2">
      <w:pPr>
        <w:pStyle w:val="a3"/>
        <w:jc w:val="left"/>
      </w:pPr>
    </w:p>
    <w:p w:rsidR="00044738" w:rsidRDefault="00044738" w:rsidP="008919C2">
      <w:pPr>
        <w:pStyle w:val="a3"/>
        <w:jc w:val="left"/>
      </w:pPr>
      <w:bookmarkStart w:id="0" w:name="_GoBack"/>
      <w:bookmarkEnd w:id="0"/>
    </w:p>
    <w:p w:rsidR="00AF6D6D" w:rsidRDefault="00436974" w:rsidP="008919C2">
      <w:pPr>
        <w:pStyle w:val="a3"/>
        <w:jc w:val="left"/>
      </w:pPr>
      <w:r>
        <w:t>П</w:t>
      </w:r>
      <w:r w:rsidR="00CC6569" w:rsidRPr="0048689F">
        <w:t xml:space="preserve">редседатель                                                                          </w:t>
      </w:r>
      <w:r w:rsidR="00CC6569">
        <w:t xml:space="preserve">   </w:t>
      </w:r>
      <w:r w:rsidR="00CC6569">
        <w:tab/>
        <w:t xml:space="preserve">      </w:t>
      </w:r>
      <w:r w:rsidR="00CC6569" w:rsidRPr="0048689F">
        <w:t>Г.Е. Емельянов</w:t>
      </w:r>
    </w:p>
    <w:sectPr w:rsidR="00AF6D6D" w:rsidSect="0043697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44738"/>
    <w:rsid w:val="0012137F"/>
    <w:rsid w:val="001607CE"/>
    <w:rsid w:val="0016494A"/>
    <w:rsid w:val="001D7E92"/>
    <w:rsid w:val="00271C50"/>
    <w:rsid w:val="00337020"/>
    <w:rsid w:val="003E1003"/>
    <w:rsid w:val="00436974"/>
    <w:rsid w:val="004C4A72"/>
    <w:rsid w:val="00572D3D"/>
    <w:rsid w:val="005F61D6"/>
    <w:rsid w:val="006009B5"/>
    <w:rsid w:val="006F02B0"/>
    <w:rsid w:val="006F06E3"/>
    <w:rsid w:val="008919C2"/>
    <w:rsid w:val="00891DBD"/>
    <w:rsid w:val="00892767"/>
    <w:rsid w:val="00910D6B"/>
    <w:rsid w:val="00AF6D6D"/>
    <w:rsid w:val="00B40E9E"/>
    <w:rsid w:val="00B743C0"/>
    <w:rsid w:val="00C83C2F"/>
    <w:rsid w:val="00C900E9"/>
    <w:rsid w:val="00CC6569"/>
    <w:rsid w:val="00D11BCE"/>
    <w:rsid w:val="00DC5986"/>
    <w:rsid w:val="00E35F20"/>
    <w:rsid w:val="00EA1E7E"/>
    <w:rsid w:val="00EC4506"/>
    <w:rsid w:val="00ED1B35"/>
    <w:rsid w:val="00F101E8"/>
    <w:rsid w:val="00F96FCA"/>
    <w:rsid w:val="00FA28F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2018-09-27T13:05:00Z</dcterms:created>
  <dcterms:modified xsi:type="dcterms:W3CDTF">2018-09-27T13:05:00Z</dcterms:modified>
</cp:coreProperties>
</file>